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 Unicode MS" w:cs="Tahoma"/>
          <w:kern w:val="2"/>
          <w:sz w:val="20"/>
          <w:szCs w:val="24"/>
        </w:rPr>
      </w:pPr>
      <w:r>
        <w:rPr>
          <w:rFonts w:eastAsia="Arial Unicode MS" w:cs="Tahoma" w:ascii="Arial" w:hAnsi="Arial"/>
          <w:kern w:val="2"/>
          <w:sz w:val="20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 w:cstheme="minorHAnsi"/>
          <w:b/>
          <w:b/>
          <w:sz w:val="36"/>
          <w:szCs w:val="36"/>
          <w:u w:val="single"/>
        </w:rPr>
      </w:pPr>
      <w:r>
        <w:rPr>
          <w:rFonts w:eastAsia="Times New Roman" w:cs="Calibri" w:cstheme="minorHAnsi"/>
          <w:b/>
          <w:sz w:val="36"/>
          <w:szCs w:val="36"/>
          <w:u w:val="single"/>
        </w:rPr>
        <w:t>PROCÈS VERBAL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Calibri" w:cstheme="minorHAnsi"/>
          <w:b/>
          <w:b/>
          <w:sz w:val="36"/>
          <w:szCs w:val="32"/>
          <w:u w:val="single"/>
        </w:rPr>
      </w:pPr>
      <w:r>
        <w:rPr>
          <w:rFonts w:eastAsia="Times New Roman" w:cs="Calibri" w:cstheme="minorHAnsi"/>
          <w:b/>
          <w:sz w:val="36"/>
          <w:szCs w:val="32"/>
          <w:u w:val="single"/>
        </w:rPr>
        <w:t>CONSEIL MUNICIPAL DU 12 DECEMBRE 2022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u w:val="single"/>
        </w:rPr>
      </w:pPr>
      <w:r>
        <w:rPr>
          <w:rFonts w:eastAsia="Times New Roman" w:cs="Arial" w:ascii="Arial" w:hAnsi="Arial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  <w:u w:val="single"/>
        </w:rPr>
        <w:t>Présents</w:t>
      </w:r>
      <w:r>
        <w:rPr>
          <w:rFonts w:eastAsia="Times New Roman" w:cs="Calibri" w:cstheme="minorHAnsi"/>
        </w:rPr>
        <w:t xml:space="preserve"> : Monsieur FONTES Bernard, Maire et Président de séance , Messieurs BARTHES Daniel et GUIRAUD Thierry, Adjoints, Mesdames ROUANET Gisèle, ROUZE Caroline, BRISSON Nancy, Conseillères, </w:t>
      </w:r>
      <w:r>
        <w:rPr>
          <w:rFonts w:eastAsia="Times New Roman" w:cs="Calibri" w:cstheme="minorHAnsi"/>
          <w:color w:val="FF0000"/>
        </w:rPr>
        <w:t>Monsieur SENAUX Julien, Conseiller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u w:val="single"/>
          <w:lang w:eastAsia="en-US"/>
        </w:rPr>
        <w:t xml:space="preserve">Absente </w:t>
      </w:r>
      <w:r>
        <w:rPr>
          <w:rFonts w:eastAsia="Calibri" w:cs="Calibri" w:cstheme="minorHAnsi"/>
          <w:lang w:eastAsia="en-US"/>
        </w:rPr>
        <w:t>: Madame FONTES Viviane, Conseillère, représentée par SENAUX Julien. Madame FABRE Véronique, Cons</w:t>
      </w:r>
      <w:r>
        <w:rPr>
          <w:rFonts w:eastAsia="Calibri" w:cs="Calibri" w:cstheme="minorHAnsi"/>
          <w:color w:val="FF0000"/>
          <w:lang w:eastAsia="en-US"/>
        </w:rPr>
        <w:t>e</w:t>
      </w:r>
      <w:r>
        <w:rPr>
          <w:rFonts w:eastAsia="Calibri" w:cs="Calibri" w:cstheme="minorHAnsi"/>
          <w:lang w:eastAsia="en-US"/>
        </w:rPr>
        <w:t>illère.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u w:val="single"/>
          <w:lang w:eastAsia="en-US"/>
        </w:rPr>
        <w:t>Secrétaire de séance </w:t>
      </w:r>
      <w:r>
        <w:rPr>
          <w:rFonts w:eastAsia="Calibri" w:cs="Calibri" w:cstheme="minorHAnsi"/>
          <w:lang w:eastAsia="en-US"/>
        </w:rPr>
        <w:t>: Caroline ROUZE, Conseillère.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cs="Calibri" w:cstheme="minorHAnsi"/>
        </w:rPr>
      </w:pPr>
      <w:r>
        <w:rPr>
          <w:rFonts w:cs="Calibri" w:cstheme="minorHAnsi"/>
        </w:rPr>
        <w:t>Ouverture de séance à 18h30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lledutableau"/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38"/>
        <w:gridCol w:w="3792"/>
        <w:gridCol w:w="4131"/>
      </w:tblGrid>
      <w:tr>
        <w:trPr>
          <w:trHeight w:val="423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ab/>
            </w: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Délibérations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Compte-rendu</w:t>
            </w:r>
          </w:p>
        </w:tc>
      </w:tr>
      <w:tr>
        <w:trPr>
          <w:trHeight w:val="354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 xml:space="preserve">Approbation du procès-verbal 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fr-FR" w:eastAsia="en-US" w:bidi="ar-SA"/>
              </w:rPr>
              <w:t>du Conseil Municipal du 20 octobre 2022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Approuvé à l’unanimité</w:t>
            </w:r>
          </w:p>
        </w:tc>
      </w:tr>
      <w:tr>
        <w:trPr>
          <w:trHeight w:val="354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  <w:bCs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fr-FR" w:eastAsia="en-US" w:bidi="ar-SA"/>
              </w:rPr>
              <w:t>Délibération</w:t>
            </w: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fr-FR" w:eastAsia="en-US" w:bidi="ar-SA"/>
              </w:rPr>
              <w:t xml:space="preserve"> autorisant la prise en charge des dépenses d’investissement avant le vote du budget primitif 2023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Cela permet à la Commune de poursuivre les travaux en cours.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validant la mise à jour du règlement du service public d’alimentation en eau potable de la commune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déterminant les tarifs des services municipaux à partir du 1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 xml:space="preserve"> janvier 2023 (cimetière)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Concession trentenaire de 2.3m² : 600€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Concession trentenaire de 4.6m² : 1 000€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la majorité (1 abstention)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Vote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du taux de la taxe d’aménagement sur le territoire de la commune de Saint-Vincent d’Olargues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Voté à la majorité (1 abstention)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fixant l’indemnité pour travaux supplémentaires de l’agent technique contractuel en contrat aidé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b/>
                <w:b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autorisant l’indemnité pour le gardiennage de l’église communale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autorisant la clôture de la régie « photocopies »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761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b/>
                <w:b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Délibération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validant la nouvelle convention d’adhésion 2023-2025 de médecine préventive avec le CDG34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Adopté à l’unanimité</w:t>
            </w:r>
          </w:p>
        </w:tc>
      </w:tr>
      <w:tr>
        <w:trPr>
          <w:trHeight w:val="389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Calibri" w:cstheme="minorHAnsi"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Décision modificative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– Budget principal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Voté à l’unanimité</w:t>
            </w:r>
          </w:p>
        </w:tc>
      </w:tr>
      <w:tr>
        <w:trPr>
          <w:trHeight w:val="423" w:hRule="atLeast"/>
        </w:trPr>
        <w:tc>
          <w:tcPr>
            <w:tcW w:w="49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Cs/>
                <w:iCs/>
              </w:rPr>
            </w:pPr>
            <w:r>
              <w:rPr>
                <w:rFonts w:eastAsia="Calibri" w:cs="Calibri" w:cstheme="minorHAnsi"/>
                <w:b/>
                <w:iCs/>
                <w:kern w:val="0"/>
                <w:sz w:val="22"/>
                <w:szCs w:val="22"/>
                <w:lang w:val="fr-FR" w:eastAsia="en-US" w:bidi="ar-SA"/>
              </w:rPr>
              <w:t xml:space="preserve">Décision modificative </w:t>
            </w:r>
            <w:r>
              <w:rPr>
                <w:rFonts w:eastAsia="Calibri" w:cs="Calibri" w:cstheme="minorHAnsi"/>
                <w:iCs/>
                <w:kern w:val="0"/>
                <w:sz w:val="22"/>
                <w:szCs w:val="22"/>
                <w:lang w:val="fr-FR" w:eastAsia="en-US" w:bidi="ar-SA"/>
              </w:rPr>
              <w:t>– Budget annexe</w:t>
            </w:r>
          </w:p>
        </w:tc>
        <w:tc>
          <w:tcPr>
            <w:tcW w:w="41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fr-FR" w:eastAsia="en-US" w:bidi="ar-SA"/>
              </w:rPr>
              <w:t>Voté à l’unanimité</w:t>
            </w:r>
          </w:p>
        </w:tc>
      </w:tr>
      <w:tr>
        <w:trPr>
          <w:trHeight w:val="6368" w:hRule="atLeast"/>
        </w:trPr>
        <w:tc>
          <w:tcPr>
            <w:tcW w:w="1138" w:type="dxa"/>
            <w:tcBorders/>
            <w:vAlign w:val="center"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uppressAutoHyphens w:val="true"/>
              <w:spacing w:lineRule="auto" w:line="240" w:before="0" w:after="0"/>
              <w:jc w:val="both"/>
              <w:outlineLvl w:val="6"/>
              <w:rPr>
                <w:rFonts w:cs="Calibri" w:cstheme="minorHAnsi"/>
                <w:b/>
                <w:b/>
                <w:bCs/>
                <w:iCs/>
              </w:rPr>
            </w:pPr>
            <w:r>
              <w:rPr>
                <w:rFonts w:eastAsia="Calibri" w:cs="Calibri" w:cstheme="minorHAnsi"/>
                <w:b/>
                <w:bCs/>
                <w:iCs/>
                <w:kern w:val="0"/>
                <w:sz w:val="22"/>
                <w:szCs w:val="22"/>
                <w:lang w:val="fr-FR" w:eastAsia="en-US" w:bidi="ar-SA"/>
              </w:rPr>
              <w:t>Questions diverses</w:t>
            </w:r>
          </w:p>
        </w:tc>
        <w:tc>
          <w:tcPr>
            <w:tcW w:w="7923" w:type="dxa"/>
            <w:gridSpan w:val="2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La mise à jour de l’inventaire communal a été validée.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Rénovation de la calade de Julio : une lettre a été transmise par Monsieur le Maire au propriétaire ayant effectué les travaux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à l’origine des dégradations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. Une demande de devis sera faite pour obtenir un financement.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Mise en place de l’assainissement collectif au hameau de Camproger : Nous attendons le retour du financem</w:t>
            </w:r>
            <w:r>
              <w:rPr>
                <w:rFonts w:eastAsia="" w:cs="Arial Narrow" w:ascii="Arial Narrow" w:hAnsi="Arial Narrow"/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ent pour les travaux.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shd w:fill="FFFF00" w:val="clear"/>
                <w:lang w:val="fr-FR" w:eastAsia="en-US" w:bidi="ar-SA"/>
              </w:rPr>
              <w:t xml:space="preserve">Je ne comprends pas cette phrase. S’agit-il de la réponse suite à la demande de financement ?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Aménagement du parking de la Mazarié : les démarches consistant à demander l’accord des propriétaires sont terminées. Le financement est obtenu. Les travaux pourront démarrer lorsque le budget primitif sera voté.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Création d’une plateforme pour la mise en place d’une nouvelle citerne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de 160 m³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au-dessus de la Mazarié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,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dans le cadre de la protection incendie du hameau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.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U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ne demande de financement complémentaire sera réalisée.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Aménagement d’une aire de stockage pour la collecte des ordures ménagères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au n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iveau du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cimetière :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l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e devis est établi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et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une demande de subvention sera effectuée dans le cadre de la DETR (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Préfecture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État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) et des « hors programme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 » (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Conseil Départemental 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>Département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É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conomies d’énergie : il est demandé un effort à tous pour ne pas subir de coupures d’électricité en début d’année 2023. Si tel était le cas malgré tout, une information serait diffusée en amont.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shd w:fill="FFFF00" w:val="clear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shd w:fill="FFFF00" w:val="clear"/>
                <w:lang w:val="fr-FR" w:eastAsia="en-US" w:bidi="ar-SA"/>
              </w:rPr>
              <w:t>Par qui ? Comment ?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Proposition d’installation d’une climatisation réversible – appartement communal n°1 : un devis sera demandé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en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début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d’année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2023, suivi d’une demande de subvention.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Remplacement des fenêtres à l’étage de l’appartement communal n°2 : un devis a été demandé. Il fera l’objet d’une demande de subvention.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Sauvegarde du p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atrimoine 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communal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: </w:t>
            </w:r>
          </w:p>
          <w:p>
            <w:pPr>
              <w:pStyle w:val="Normal"/>
              <w:widowControl/>
              <w:numPr>
                <w:ilvl w:val="2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eastAsia=""/>
                <w:kern w:val="0"/>
                <w:lang w:val="fr-FR" w:eastAsia="en-US" w:bidi="ar-SA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Les habitants du hameau de Raspaillac ont accueilli avec bonheur la croix qui avait été retirée pour retrouver une nouvelle jeunesse, elle est même ornée d’une guirlande lumineuse à l’occasion de son retour ! </w:t>
            </w:r>
          </w:p>
          <w:p>
            <w:pPr>
              <w:pStyle w:val="Normal"/>
              <w:widowControl/>
              <w:numPr>
                <w:ilvl w:val="2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réfection des vitraux de l’église :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une étude va être menée pour restaurer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les vitraux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de l’église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. Suivra une demande de subvention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.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pour sauvegarder ce patrimoine communal.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Projet de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programmation d’une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formation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de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aux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premiers secours pour 10 habitants de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la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Commune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Saint Vincent d’Olargues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, sur proposition de deux administrés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de la commune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. La participation de la commune sera de 300€.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Avant de lancer ce projet une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Une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enquête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préalable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sera menée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auprès de la population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pour recenser les personnes intéressées.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Tour de table :</w:t>
            </w:r>
          </w:p>
          <w:p>
            <w:pPr>
              <w:pStyle w:val="Normal"/>
              <w:widowControl/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ind w:left="284" w:hanging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. Thierry GUIRAUD fait part de la formation qu’il a suivie au SDIS à Vailhauques sur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la conduite à tenir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la direction des opérations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en cas d’évènement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climatique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 particulièrement intense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s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.</w:t>
            </w:r>
          </w:p>
          <w:p>
            <w:pPr>
              <w:pStyle w:val="Normal"/>
              <w:widowControl/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ind w:left="284" w:hanging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>. Pradels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color w:val="FF0000"/>
                <w:kern w:val="0"/>
                <w:sz w:val="24"/>
                <w:szCs w:val="24"/>
                <w:lang w:val="fr-FR" w:eastAsia="en-US" w:bidi="ar-SA"/>
              </w:rPr>
              <w:t>et Camproger</w:t>
            </w:r>
            <w:r>
              <w:rPr>
                <w:rFonts w:eastAsia="" w:cs="Arial Narrow" w:ascii="Arial Narrow" w:hAnsi="Arial Narrow"/>
                <w:kern w:val="0"/>
                <w:sz w:val="24"/>
                <w:szCs w:val="24"/>
                <w:lang w:val="fr-FR" w:eastAsia="en-US" w:bidi="ar-SA"/>
              </w:rPr>
              <w:t xml:space="preserve"> :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le problème d’ éclairage public sera réglé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au plus vite. L’entreprise doit intervenir ce 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>le</w:t>
            </w:r>
            <w:r>
              <w:rPr>
                <w:rFonts w:eastAsia="" w:cs="Arial Narrow" w:ascii="Arial Narrow" w:hAnsi="Arial Narrow"/>
                <w:strike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mardi 13 décembre.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>Intervention d’une entreprise pour la réparation de l’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éclairage public 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>le</w:t>
            </w:r>
            <w:r>
              <w:rPr>
                <w:rFonts w:eastAsia="" w:cs="Arial Narrow" w:ascii="Arial Narrow" w:hAnsi="Arial Narrow"/>
                <w:strike w:val="false"/>
                <w:dstrike w:val="false"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 mardi 13 décembre.</w:t>
            </w:r>
          </w:p>
          <w:p>
            <w:pPr>
              <w:pStyle w:val="Normal"/>
              <w:widowControl/>
              <w:tabs>
                <w:tab w:val="left" w:pos="284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suppressAutoHyphens w:val="false"/>
              <w:spacing w:lineRule="auto" w:line="240" w:before="0" w:after="0"/>
              <w:ind w:left="284" w:hanging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eastAsia="" w:cs="Calibri" w:cstheme="minorHAnsi"/>
                <w:bCs/>
                <w:iCs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  <w:t>L’ordre du jour étant épuisé, Monsieur le Maire clôt la séance à 20h45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cs="Calibri" w:cstheme="minorHAnsi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gutter="0" w:header="708" w:top="765" w:footer="266" w:bottom="323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drawing>
        <wp:inline distT="0" distB="0" distL="0" distR="0">
          <wp:extent cx="5760720" cy="158750"/>
          <wp:effectExtent l="0" t="0" r="0" b="0"/>
          <wp:docPr id="2" name="Image 6" descr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ind w:left="-567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-329565</wp:posOffset>
          </wp:positionH>
          <wp:positionV relativeFrom="paragraph">
            <wp:posOffset>-341630</wp:posOffset>
          </wp:positionV>
          <wp:extent cx="6438900" cy="1088390"/>
          <wp:effectExtent l="0" t="0" r="0" b="0"/>
          <wp:wrapNone/>
          <wp:docPr id="1" name="Image 8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4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0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72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08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44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0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164" w:hanging="284"/>
      </w:pPr>
      <w:rPr>
        <w:rFonts w:ascii="Symbol" w:hAnsi="Symbol" w:cs="Symbol" w:hint="default"/>
        <w:dstrike w:val="false"/>
        <w:strike w:val="false"/>
        <w:sz w:val="28"/>
        <w:i w:val="false"/>
        <w:u w:val="none"/>
        <w:b w:val="false"/>
        <w:szCs w:val="28"/>
        <w:iCs w:val="false"/>
        <w:bCs w:val="false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aa6ecf"/>
    <w:rPr/>
  </w:style>
  <w:style w:type="character" w:styleId="PieddepageCar" w:customStyle="1">
    <w:name w:val="Pied de page Car"/>
    <w:basedOn w:val="DefaultParagraphFont"/>
    <w:uiPriority w:val="99"/>
    <w:qFormat/>
    <w:rsid w:val="00aa6ecf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a6ecf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f94ad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aa6ec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a6ec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a6e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75d"/>
    <w:pPr>
      <w:spacing w:before="0" w:after="20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4319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59"/>
    <w:rsid w:val="00db26c9"/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2">
    <w:name w:val="Grille du tableau2"/>
    <w:basedOn w:val="TableauNormal"/>
    <w:uiPriority w:val="59"/>
    <w:rsid w:val="00406c06"/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3">
    <w:name w:val="Grille du tableau3"/>
    <w:basedOn w:val="TableauNormal"/>
    <w:uiPriority w:val="59"/>
    <w:rsid w:val="0044243c"/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7E7B-BFEA-4972-AA3A-3F28E30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LibreOffice/7.3.7.2$Linux_X86_64 LibreOffice_project/30$Build-2</Application>
  <AppVersion>15.0000</AppVersion>
  <DocSecurity>0</DocSecurity>
  <Pages>2</Pages>
  <Words>752</Words>
  <Characters>4101</Characters>
  <CharactersWithSpaces>4794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2022-12-12T09:58:00Z</dcterms:created>
  <dc:creator>ACCUEIL</dc:creator>
  <dc:description/>
  <dc:language>fr-FR</dc:language>
  <cp:lastModifiedBy/>
  <cp:lastPrinted>2022-09-29T09:25:00Z</cp:lastPrinted>
  <dcterms:modified xsi:type="dcterms:W3CDTF">2022-12-14T13:54:33Z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